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4F" w:rsidRDefault="00534B4F" w:rsidP="00534B4F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it-IT"/>
        </w:rPr>
        <w:t>AGJENCIA E ADMINISTRIMIT TË PASURIVE TË SEKUESTRUARA DHE KONFISKUARA</w:t>
      </w:r>
    </w:p>
    <w:p w:rsidR="00534B4F" w:rsidRDefault="00534B4F" w:rsidP="0053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REGJISTRI I KËRKESAVE DHE PËRGJIGJEVE </w:t>
      </w:r>
    </w:p>
    <w:p w:rsidR="00534B4F" w:rsidRDefault="002A4E66" w:rsidP="00534B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Viti 2024</w:t>
      </w:r>
    </w:p>
    <w:p w:rsidR="00534B4F" w:rsidRDefault="00534B4F" w:rsidP="00534B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tblpY="1"/>
        <w:tblOverlap w:val="never"/>
        <w:tblW w:w="14349" w:type="dxa"/>
        <w:tblLayout w:type="fixed"/>
        <w:tblLook w:val="04A0" w:firstRow="1" w:lastRow="0" w:firstColumn="1" w:lastColumn="0" w:noHBand="0" w:noVBand="1"/>
      </w:tblPr>
      <w:tblGrid>
        <w:gridCol w:w="1007"/>
        <w:gridCol w:w="1530"/>
        <w:gridCol w:w="2070"/>
        <w:gridCol w:w="1822"/>
        <w:gridCol w:w="4591"/>
        <w:gridCol w:w="1439"/>
        <w:gridCol w:w="1890"/>
      </w:tblGrid>
      <w:tr w:rsidR="00534B4F" w:rsidTr="0044646C">
        <w:trPr>
          <w:trHeight w:val="8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Rendor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kërkesës</w:t>
            </w:r>
            <w:proofErr w:type="spellEnd"/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Përgjigje</w:t>
            </w:r>
            <w:proofErr w:type="spellEnd"/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Tarifa</w:t>
            </w:r>
            <w:proofErr w:type="spellEnd"/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4B4F" w:rsidRDefault="00534B4F" w:rsidP="00446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4F" w:rsidTr="002A4E66">
        <w:trPr>
          <w:trHeight w:val="3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ED5AE0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2A4E66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1" w:rsidRDefault="002A4E66" w:rsidP="0044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Kërkohen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dhëna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korrespondenca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menaxhimin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kompanisë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“Integrated Energy” BV SPV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prodhuara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pasurisë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sekuestruar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Gushti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konkretisht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4E66" w:rsidRDefault="002A4E66" w:rsidP="002A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gjitha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dokumentet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prodhuara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administratori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mbi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gjendjen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shoq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tilla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shoq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2A4E66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A4E66" w:rsidRDefault="002A4E66" w:rsidP="002A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2.Bilancin,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pasqyrat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:rsidR="002A4E66" w:rsidRDefault="002A4E66" w:rsidP="002A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3.Korrespondenca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shkëmbyer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administratorit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institucioneve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përgjegjëse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cështje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menaxhimin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landfillit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Sharrës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gushti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  <w:p w:rsidR="002A4E66" w:rsidRDefault="002A4E66" w:rsidP="002A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mbetjeve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depozituara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landfill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bashkitë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përkatëse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kapacitetet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landfillit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E66" w:rsidRPr="002A4E66" w:rsidRDefault="002A4E66" w:rsidP="002A4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auditimi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pasqyrave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C749AA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D8093C"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C" w:rsidRDefault="00D8093C" w:rsidP="00D8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përgjigje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shkresës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suaj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datës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08.02.2024, </w:t>
            </w:r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>protokolluar</w:t>
            </w:r>
            <w:proofErr w:type="spellEnd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>në</w:t>
            </w:r>
            <w:proofErr w:type="spellEnd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 xml:space="preserve"> AAPSK me </w:t>
            </w:r>
            <w:proofErr w:type="spellStart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>nr</w:t>
            </w:r>
            <w:proofErr w:type="spellEnd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 xml:space="preserve">. 581, </w:t>
            </w:r>
            <w:proofErr w:type="spellStart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>datë</w:t>
            </w:r>
            <w:proofErr w:type="spellEnd"/>
            <w:r w:rsidRPr="00935A9A">
              <w:rPr>
                <w:rFonts w:ascii="Times New Roman" w:hAnsi="Times New Roman"/>
                <w:iCs/>
                <w:sz w:val="24"/>
                <w:szCs w:val="24"/>
              </w:rPr>
              <w:t xml:space="preserve"> 13.02.2024</w:t>
            </w:r>
            <w:r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883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kërkohen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dhëna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raporte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korrespodenca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menaxhimin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883562">
              <w:rPr>
                <w:rFonts w:ascii="Times New Roman" w:hAnsi="Times New Roman"/>
                <w:sz w:val="24"/>
                <w:szCs w:val="24"/>
              </w:rPr>
              <w:t>kompanisë</w:t>
            </w:r>
            <w:proofErr w:type="spellEnd"/>
            <w:r w:rsidRPr="00883562">
              <w:rPr>
                <w:rFonts w:ascii="Times New Roman" w:hAnsi="Times New Roman"/>
                <w:sz w:val="24"/>
                <w:szCs w:val="24"/>
              </w:rPr>
              <w:t xml:space="preserve"> “Int</w:t>
            </w:r>
            <w:r w:rsidR="00C749AA">
              <w:rPr>
                <w:rFonts w:ascii="Times New Roman" w:hAnsi="Times New Roman"/>
                <w:sz w:val="24"/>
                <w:szCs w:val="24"/>
              </w:rPr>
              <w:t xml:space="preserve">egrated Energy BV SPV”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sh.p.k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bejme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dije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informacioni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public,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pasqyrat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auditimit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per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vitin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2022gjenden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publikuara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regjistrin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public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Qendres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Kombetare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Biznesit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informacion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eshte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aksesueshem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49AA">
              <w:rPr>
                <w:rFonts w:ascii="Times New Roman" w:hAnsi="Times New Roman"/>
                <w:sz w:val="24"/>
                <w:szCs w:val="24"/>
              </w:rPr>
              <w:t>publiku</w:t>
            </w:r>
            <w:proofErr w:type="spellEnd"/>
            <w:r w:rsidR="00C74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49AA" w:rsidRDefault="00C749AA" w:rsidP="00D8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9AA" w:rsidRDefault="00C749AA" w:rsidP="00D8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zbatim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25/2018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kontabilitetin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pasqyrat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shoq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562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  <w:r w:rsidRPr="00883562">
              <w:rPr>
                <w:rFonts w:ascii="Times New Roman" w:hAnsi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egrated Energy BV SPV”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pasqyrat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auditimit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afateve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25/2018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kontabilitetin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pasqyrat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rcakton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9AA" w:rsidRPr="00883562" w:rsidRDefault="00C749AA" w:rsidP="00D809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49AA" w:rsidRDefault="00C749AA" w:rsidP="00D8093C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Bazuar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35A9A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>ligji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proofErr w:type="spellEnd"/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>nr</w:t>
            </w:r>
            <w:proofErr w:type="spellEnd"/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>. 119/2014, “</w:t>
            </w:r>
            <w:proofErr w:type="spellStart"/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>Për</w:t>
            </w:r>
            <w:proofErr w:type="spellEnd"/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drejtën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informimit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neni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pika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rma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citon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“ E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drejta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informimit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kufizohet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rast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 </w:t>
            </w:r>
            <w:proofErr w:type="spellStart"/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sht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domosdoshme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proporcionale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n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dh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informacionit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shkakton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nj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qart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nd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ndaj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interesave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posht</w:t>
            </w:r>
            <w:r w:rsidR="00935A9A">
              <w:rPr>
                <w:rFonts w:ascii="Times New Roman" w:hAnsi="Times New Roman"/>
                <w:i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D8093C" w:rsidRPr="00883562" w:rsidRDefault="00C749AA" w:rsidP="00C749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parandalimin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hetimin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ndjekjen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veprave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penale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”.</w:t>
            </w:r>
            <w:r w:rsidR="00D8093C" w:rsidRPr="0088356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FE1EF1" w:rsidRDefault="00FE1EF1" w:rsidP="00935A9A">
            <w:pPr>
              <w:pStyle w:val="Paragrafi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</w:pPr>
          </w:p>
          <w:p w:rsidR="00935A9A" w:rsidRPr="00935A9A" w:rsidRDefault="00935A9A" w:rsidP="00935A9A">
            <w:pPr>
              <w:pStyle w:val="Paragrafi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Referuar faktit 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shoq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ria 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cil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n ju 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rkoni informacion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sht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shoq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ri me mas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sigurimi “sekuestro preventive” dhe dokumentacioni i shoq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nj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koh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sisht konsiderohet prov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materiale ku po i 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nshtrohet dhe proceurave hetimore sipas vendimit nr. 95, dat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28.07.2023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Gjykat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s 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Posacme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Shkall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s 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Par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Kund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 Korrupsionit dhe Krimit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Organizuar, ndodhur 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to kushte vler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sojm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mir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kuptimin tuaj 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informacione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vecanta dhe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detajuara nuk mund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jepen 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interes 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ruajtjes 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provave deri 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 xml:space="preserve"> 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ë</w:t>
            </w:r>
            <w:r w:rsidRPr="00935A9A">
              <w:rPr>
                <w:rFonts w:ascii="Times New Roman" w:hAnsi="Times New Roman" w:cs="Times New Roman"/>
                <w:iCs/>
                <w:sz w:val="24"/>
                <w:szCs w:val="24"/>
                <w:lang w:val="sq-AL"/>
              </w:rPr>
              <w:t>rfundimin e procesit hetimor nga SPAK.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A" w:rsidRDefault="00935A9A" w:rsidP="00935A9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shkresë</w:t>
            </w:r>
            <w:proofErr w:type="spellEnd"/>
          </w:p>
          <w:p w:rsidR="00534B4F" w:rsidRDefault="00935A9A" w:rsidP="00935A9A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zyrtare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935A9A" w:rsidP="0044646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pagesë</w:t>
            </w:r>
            <w:proofErr w:type="spellEnd"/>
          </w:p>
        </w:tc>
      </w:tr>
      <w:tr w:rsidR="00534B4F" w:rsidTr="0044646C">
        <w:trPr>
          <w:trHeight w:val="3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FE1EF1" w:rsidP="0044646C">
            <w:pPr>
              <w:spacing w:after="0" w:line="480" w:lineRule="auto"/>
            </w:pPr>
            <w:r>
              <w:lastRenderedPageBreak/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6C" w:rsidRPr="0044646C" w:rsidRDefault="0044646C" w:rsidP="0044646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  <w:tr w:rsidR="00534B4F" w:rsidTr="0044646C">
        <w:trPr>
          <w:trHeight w:val="29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BA3E4A" w:rsidP="0044646C">
            <w:pPr>
              <w:spacing w:after="0" w:line="480" w:lineRule="auto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Pr="003A20C4" w:rsidRDefault="00534B4F" w:rsidP="0044646C">
            <w:pPr>
              <w:spacing w:after="0" w:line="48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Pr="003A20C4" w:rsidRDefault="00534B4F" w:rsidP="0044646C">
            <w:pPr>
              <w:spacing w:after="0" w:line="480" w:lineRule="auto"/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Pr="003A20C4" w:rsidRDefault="00534B4F" w:rsidP="0044646C">
            <w:pPr>
              <w:spacing w:after="0" w:line="480" w:lineRule="auto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4F" w:rsidRDefault="00534B4F" w:rsidP="0044646C">
            <w:pPr>
              <w:spacing w:after="0" w:line="480" w:lineRule="auto"/>
            </w:pPr>
          </w:p>
        </w:tc>
      </w:tr>
    </w:tbl>
    <w:p w:rsidR="007B082B" w:rsidRDefault="007B082B">
      <w:bookmarkStart w:id="0" w:name="_GoBack"/>
      <w:bookmarkEnd w:id="0"/>
    </w:p>
    <w:sectPr w:rsidR="007B082B" w:rsidSect="00534B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F71D0"/>
    <w:multiLevelType w:val="hybridMultilevel"/>
    <w:tmpl w:val="645CA2AE"/>
    <w:lvl w:ilvl="0" w:tplc="4F26E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10"/>
    <w:rsid w:val="00033F6A"/>
    <w:rsid w:val="002A4E66"/>
    <w:rsid w:val="003A20C4"/>
    <w:rsid w:val="003E777B"/>
    <w:rsid w:val="0044646C"/>
    <w:rsid w:val="00534B4F"/>
    <w:rsid w:val="00794210"/>
    <w:rsid w:val="007B082B"/>
    <w:rsid w:val="00935A9A"/>
    <w:rsid w:val="00BA3E4A"/>
    <w:rsid w:val="00C749AA"/>
    <w:rsid w:val="00CE15A1"/>
    <w:rsid w:val="00D8093C"/>
    <w:rsid w:val="00ED5AE0"/>
    <w:rsid w:val="00FE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08B8"/>
  <w15:docId w15:val="{BD8F2BFA-4BB5-46E9-90CC-477B7549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4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6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6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E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E66"/>
    <w:pPr>
      <w:ind w:left="720"/>
      <w:contextualSpacing/>
    </w:pPr>
  </w:style>
  <w:style w:type="paragraph" w:styleId="NoSpacing">
    <w:name w:val="No Spacing"/>
    <w:uiPriority w:val="1"/>
    <w:qFormat/>
    <w:rsid w:val="00D809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fi">
    <w:name w:val="Paragrafi"/>
    <w:link w:val="ParagrafiChar"/>
    <w:rsid w:val="00D8093C"/>
    <w:pPr>
      <w:widowControl w:val="0"/>
      <w:spacing w:after="0" w:line="240" w:lineRule="auto"/>
      <w:ind w:firstLine="284"/>
      <w:jc w:val="both"/>
    </w:pPr>
    <w:rPr>
      <w:rFonts w:ascii="CG Times" w:eastAsia="MS Mincho" w:hAnsi="CG Times" w:cs="CG Times"/>
      <w:sz w:val="21"/>
    </w:rPr>
  </w:style>
  <w:style w:type="character" w:customStyle="1" w:styleId="ParagrafiChar">
    <w:name w:val="Paragrafi Char"/>
    <w:link w:val="Paragrafi"/>
    <w:locked/>
    <w:rsid w:val="00D8093C"/>
    <w:rPr>
      <w:rFonts w:ascii="CG Times" w:eastAsia="MS Mincho" w:hAnsi="CG Times" w:cs="CG Times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A.C.S</dc:creator>
  <cp:lastModifiedBy>User</cp:lastModifiedBy>
  <cp:revision>4</cp:revision>
  <cp:lastPrinted>2024-03-27T09:10:00Z</cp:lastPrinted>
  <dcterms:created xsi:type="dcterms:W3CDTF">2024-02-15T10:23:00Z</dcterms:created>
  <dcterms:modified xsi:type="dcterms:W3CDTF">2024-03-27T09:11:00Z</dcterms:modified>
</cp:coreProperties>
</file>